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Monday February 1, 2021</w: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Start Time: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3:00 PM</w:t>
      </w:r>
    </w:p>
    <w:p w:rsidR="00000000" w:rsidDel="00000000" w:rsidP="00000000" w:rsidRDefault="00000000" w:rsidRPr="00000000" w14:paraId="00000003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Participants: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Ms. Perez, Ms. Haig, Ms. Hamerman, Ms. Amador, Ms. McKenna, Ms. Rhoden, Ms. Vazquez, Ms. Cortes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3:00 PM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Ms. Hamerman reviews the agenda</w:t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3:03 PM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Ms. McKenna reviews SLT minutes from last session/Any questions before moving forward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Principal Report</w:t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-An additional 8 classes were brought back for 5 days a week of in-person instruction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Parent Report</w:t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-Cookies and Canvas event Feb 10th 6 PM- PSA is giving out paint kits</w:t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UFT Chapter Report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-Certain sections of the by-laws need to be reviewed (Open Meeting Law Section- revision to see how to incorporate more of the community at large; communication and clarity)</w:t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-We can try to meet as a committee in the next few weeks so that we can have something final and present the revision at our next meeting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Data (Ms. Haig)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ELA i-Ready Diagnostic given in November 2020</w:t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</w:rPr>
        <w:drawing>
          <wp:inline distB="114300" distT="114300" distL="114300" distR="114300">
            <wp:extent cx="2819063" cy="14663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063" cy="14663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-Fully remote students will be invited to come in school to take the i-Ready diagnostic test</w:t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-Window 2 of i-Ready diagnostic will be complete by end of February</w:t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Fonts w:ascii="Times" w:cs="Times" w:eastAsia="Times" w:hAnsi="Times"/>
          <w:b w:val="1"/>
          <w:i w:val="1"/>
          <w:rtl w:val="0"/>
        </w:rPr>
        <w:t xml:space="preserve">-Math i-Ready Diagnostic Data November 2020</w:t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192786</wp:posOffset>
            </wp:positionV>
            <wp:extent cx="3099619" cy="1385888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9619" cy="1385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CEP Goals (Ms. Adreina Perez)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-Ms. Adreina Perez explains how we launched a survey in the beginning of the year. Based on the survey results the CEP was modified to reflect the data collected during the survey.</w:t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-Top 2 topics on survey were ELA &amp; Math workshops</w:t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-Top 2 following were PBL and Social-Emotional workshops</w:t>
      </w:r>
    </w:p>
    <w:p w:rsidR="00000000" w:rsidDel="00000000" w:rsidP="00000000" w:rsidRDefault="00000000" w:rsidRPr="00000000" w14:paraId="00000023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-SLT discussed that parents expressed on the survey that there are too many robocalls back to back for parents to keep up with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-Ms. Perez said we will begin the process of streamlining certain information through specific platforms in order to still get important information out</w:t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</w:rPr>
        <w:drawing>
          <wp:inline distB="114300" distT="114300" distL="114300" distR="114300">
            <wp:extent cx="4176713" cy="1880859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1880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  <w:b w:val="1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End time: 4:30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